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0C96" w14:textId="4E5C4F57" w:rsidR="00477F6C" w:rsidRPr="009B1BA7" w:rsidRDefault="00277D26" w:rsidP="009B1BA7">
      <w:pPr>
        <w:pStyle w:val="FreeForm"/>
        <w:rPr>
          <w:szCs w:val="24"/>
        </w:rPr>
      </w:pPr>
      <w:r w:rsidRPr="009B1BA7">
        <w:drawing>
          <wp:inline distT="0" distB="0" distL="0" distR="0" wp14:anchorId="465CAC2C" wp14:editId="6C45FF94">
            <wp:extent cx="2050473" cy="2050473"/>
            <wp:effectExtent l="0" t="0" r="0" b="0"/>
            <wp:docPr id="3" name="Picture 3" descr="A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0813" cy="206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4E716" w14:textId="77777777" w:rsidR="00477F6C" w:rsidRPr="00FD3C86" w:rsidRDefault="00477F6C" w:rsidP="009B1BA7">
      <w:pPr>
        <w:pStyle w:val="FreeForm"/>
        <w:rPr>
          <w:rFonts w:ascii="Roboto" w:hAnsi="Roboto"/>
          <w:sz w:val="28"/>
          <w:szCs w:val="32"/>
        </w:rPr>
      </w:pPr>
    </w:p>
    <w:p w14:paraId="28DFF9DB" w14:textId="77777777" w:rsidR="00477F6C" w:rsidRPr="00FD3C86" w:rsidRDefault="00477F6C" w:rsidP="00FD3C86">
      <w:pPr>
        <w:pStyle w:val="FreeForm"/>
        <w:jc w:val="left"/>
        <w:rPr>
          <w:rFonts w:ascii="Roboto" w:hAnsi="Roboto"/>
          <w:sz w:val="28"/>
          <w:szCs w:val="32"/>
        </w:rPr>
      </w:pPr>
    </w:p>
    <w:p w14:paraId="521C97C4" w14:textId="58EADB08" w:rsidR="0018155F" w:rsidRPr="00FD3C86" w:rsidRDefault="00261278" w:rsidP="009C2449">
      <w:pPr>
        <w:pStyle w:val="FreeForm"/>
        <w:spacing w:after="200"/>
        <w:jc w:val="both"/>
        <w:rPr>
          <w:rFonts w:ascii="Roboto" w:hAnsi="Roboto"/>
          <w:b/>
          <w:bCs/>
          <w:sz w:val="28"/>
          <w:szCs w:val="28"/>
        </w:rPr>
      </w:pPr>
      <w:r w:rsidRPr="00FD3C86">
        <w:rPr>
          <w:rFonts w:ascii="Roboto" w:hAnsi="Roboto"/>
          <w:b/>
          <w:bCs/>
          <w:sz w:val="28"/>
          <w:szCs w:val="28"/>
        </w:rPr>
        <w:t>Drew Provan</w:t>
      </w:r>
    </w:p>
    <w:p w14:paraId="57B7CDEB" w14:textId="7ABD6469" w:rsidR="00412B79" w:rsidRPr="00FD3C86" w:rsidRDefault="00720EE4" w:rsidP="00FD3C86">
      <w:pPr>
        <w:pStyle w:val="FreeForm"/>
        <w:spacing w:after="200" w:line="276" w:lineRule="auto"/>
        <w:jc w:val="both"/>
        <w:rPr>
          <w:rFonts w:ascii="Roboto" w:hAnsi="Roboto"/>
          <w:sz w:val="28"/>
          <w:szCs w:val="28"/>
        </w:rPr>
      </w:pPr>
      <w:r w:rsidRPr="00FD3C86">
        <w:rPr>
          <w:rFonts w:ascii="Roboto" w:hAnsi="Roboto"/>
          <w:sz w:val="28"/>
          <w:szCs w:val="28"/>
        </w:rPr>
        <w:t>Drew Provan is</w:t>
      </w:r>
      <w:r w:rsidR="00CD40F3" w:rsidRPr="00FD3C86">
        <w:rPr>
          <w:rFonts w:ascii="Roboto" w:hAnsi="Roboto"/>
          <w:sz w:val="28"/>
          <w:szCs w:val="28"/>
        </w:rPr>
        <w:t xml:space="preserve"> </w:t>
      </w:r>
      <w:r w:rsidR="00B72570" w:rsidRPr="00FD3C86">
        <w:rPr>
          <w:rFonts w:ascii="Roboto" w:hAnsi="Roboto"/>
          <w:sz w:val="28"/>
          <w:szCs w:val="28"/>
        </w:rPr>
        <w:t xml:space="preserve">Emeritus </w:t>
      </w:r>
      <w:r w:rsidR="00412B79" w:rsidRPr="00FD3C86">
        <w:rPr>
          <w:rFonts w:ascii="Roboto" w:hAnsi="Roboto"/>
          <w:sz w:val="28"/>
          <w:szCs w:val="28"/>
        </w:rPr>
        <w:t xml:space="preserve">Reader in </w:t>
      </w:r>
      <w:r w:rsidR="00B72570" w:rsidRPr="00FD3C86">
        <w:rPr>
          <w:rFonts w:ascii="Roboto" w:hAnsi="Roboto"/>
          <w:sz w:val="28"/>
          <w:szCs w:val="28"/>
        </w:rPr>
        <w:t xml:space="preserve">Autoimmune </w:t>
      </w:r>
      <w:r w:rsidR="00412B79" w:rsidRPr="00FD3C86">
        <w:rPr>
          <w:rFonts w:ascii="Roboto" w:hAnsi="Roboto"/>
          <w:sz w:val="28"/>
          <w:szCs w:val="28"/>
        </w:rPr>
        <w:t>Haematology at Barts and The London S</w:t>
      </w:r>
      <w:r w:rsidRPr="00FD3C86">
        <w:rPr>
          <w:rFonts w:ascii="Roboto" w:hAnsi="Roboto"/>
          <w:sz w:val="28"/>
          <w:szCs w:val="28"/>
        </w:rPr>
        <w:t>chool of Medicine and Dentistry</w:t>
      </w:r>
      <w:r w:rsidR="00CD40F3" w:rsidRPr="00FD3C86">
        <w:rPr>
          <w:rFonts w:ascii="Roboto" w:hAnsi="Roboto"/>
          <w:sz w:val="28"/>
          <w:szCs w:val="28"/>
        </w:rPr>
        <w:t xml:space="preserve"> in London,</w:t>
      </w:r>
      <w:r w:rsidRPr="00FD3C86">
        <w:rPr>
          <w:rFonts w:ascii="Roboto" w:hAnsi="Roboto"/>
          <w:sz w:val="28"/>
          <w:szCs w:val="28"/>
        </w:rPr>
        <w:t xml:space="preserve"> UK. Dr </w:t>
      </w:r>
      <w:r w:rsidR="00152480" w:rsidRPr="00FD3C86">
        <w:rPr>
          <w:rFonts w:ascii="Roboto" w:hAnsi="Roboto"/>
          <w:sz w:val="28"/>
          <w:szCs w:val="28"/>
        </w:rPr>
        <w:t xml:space="preserve">Provan’s </w:t>
      </w:r>
      <w:r w:rsidR="001107BF" w:rsidRPr="00FD3C86">
        <w:rPr>
          <w:rFonts w:ascii="Roboto" w:hAnsi="Roboto"/>
          <w:sz w:val="28"/>
          <w:szCs w:val="28"/>
        </w:rPr>
        <w:t xml:space="preserve">clinical and </w:t>
      </w:r>
      <w:r w:rsidRPr="00FD3C86">
        <w:rPr>
          <w:rFonts w:ascii="Roboto" w:hAnsi="Roboto"/>
          <w:sz w:val="28"/>
          <w:szCs w:val="28"/>
        </w:rPr>
        <w:t>research interests include</w:t>
      </w:r>
      <w:r w:rsidR="008F36C4" w:rsidRPr="00FD3C86">
        <w:rPr>
          <w:rFonts w:ascii="Roboto" w:hAnsi="Roboto"/>
          <w:sz w:val="28"/>
          <w:szCs w:val="28"/>
        </w:rPr>
        <w:t xml:space="preserve"> immune thrombocytopenia</w:t>
      </w:r>
      <w:r w:rsidRPr="00FD3C86">
        <w:rPr>
          <w:rFonts w:ascii="Roboto" w:hAnsi="Roboto"/>
          <w:sz w:val="28"/>
          <w:szCs w:val="28"/>
        </w:rPr>
        <w:t xml:space="preserve"> </w:t>
      </w:r>
      <w:r w:rsidR="008F36C4" w:rsidRPr="00FD3C86">
        <w:rPr>
          <w:rFonts w:ascii="Roboto" w:hAnsi="Roboto"/>
          <w:sz w:val="28"/>
          <w:szCs w:val="28"/>
        </w:rPr>
        <w:t>(</w:t>
      </w:r>
      <w:r w:rsidR="00412B79" w:rsidRPr="00FD3C86">
        <w:rPr>
          <w:rFonts w:ascii="Roboto" w:hAnsi="Roboto"/>
          <w:sz w:val="28"/>
          <w:szCs w:val="28"/>
        </w:rPr>
        <w:t>ITP</w:t>
      </w:r>
      <w:r w:rsidR="008F36C4" w:rsidRPr="00FD3C86">
        <w:rPr>
          <w:rFonts w:ascii="Roboto" w:hAnsi="Roboto"/>
          <w:sz w:val="28"/>
          <w:szCs w:val="28"/>
        </w:rPr>
        <w:t>)</w:t>
      </w:r>
      <w:r w:rsidR="00412B79" w:rsidRPr="00FD3C86">
        <w:rPr>
          <w:rFonts w:ascii="Roboto" w:hAnsi="Roboto"/>
          <w:sz w:val="28"/>
          <w:szCs w:val="28"/>
        </w:rPr>
        <w:t xml:space="preserve">, neutropenia and haemolytic anaemia. </w:t>
      </w:r>
      <w:r w:rsidR="00B72570" w:rsidRPr="00FD3C86">
        <w:rPr>
          <w:rFonts w:ascii="Roboto" w:hAnsi="Roboto"/>
          <w:sz w:val="28"/>
          <w:szCs w:val="28"/>
        </w:rPr>
        <w:t>A</w:t>
      </w:r>
      <w:r w:rsidR="00412B79" w:rsidRPr="00FD3C86">
        <w:rPr>
          <w:rFonts w:ascii="Roboto" w:hAnsi="Roboto"/>
          <w:sz w:val="28"/>
          <w:szCs w:val="28"/>
        </w:rPr>
        <w:t xml:space="preserve">long with </w:t>
      </w:r>
      <w:r w:rsidR="00CD40F3" w:rsidRPr="00FD3C86">
        <w:rPr>
          <w:rFonts w:ascii="Roboto" w:hAnsi="Roboto"/>
          <w:sz w:val="28"/>
          <w:szCs w:val="28"/>
        </w:rPr>
        <w:t>i</w:t>
      </w:r>
      <w:r w:rsidR="00412B79" w:rsidRPr="00FD3C86">
        <w:rPr>
          <w:rFonts w:ascii="Roboto" w:hAnsi="Roboto"/>
          <w:sz w:val="28"/>
          <w:szCs w:val="28"/>
        </w:rPr>
        <w:t>nternational colleagues</w:t>
      </w:r>
      <w:r w:rsidR="00DE0920" w:rsidRPr="00FD3C86">
        <w:rPr>
          <w:rFonts w:ascii="Roboto" w:hAnsi="Roboto"/>
          <w:sz w:val="28"/>
          <w:szCs w:val="28"/>
        </w:rPr>
        <w:t>,</w:t>
      </w:r>
      <w:r w:rsidR="00412B79" w:rsidRPr="00FD3C86">
        <w:rPr>
          <w:rFonts w:ascii="Roboto" w:hAnsi="Roboto"/>
          <w:sz w:val="28"/>
          <w:szCs w:val="28"/>
        </w:rPr>
        <w:t xml:space="preserve"> </w:t>
      </w:r>
      <w:r w:rsidR="00261278" w:rsidRPr="00FD3C86">
        <w:rPr>
          <w:rFonts w:ascii="Roboto" w:hAnsi="Roboto"/>
          <w:sz w:val="28"/>
          <w:szCs w:val="28"/>
        </w:rPr>
        <w:t xml:space="preserve">Dr Provan </w:t>
      </w:r>
      <w:r w:rsidR="00785138" w:rsidRPr="00FD3C86">
        <w:rPr>
          <w:rFonts w:ascii="Roboto" w:hAnsi="Roboto"/>
          <w:sz w:val="28"/>
          <w:szCs w:val="28"/>
        </w:rPr>
        <w:t xml:space="preserve">has recently </w:t>
      </w:r>
      <w:r w:rsidR="00412B79" w:rsidRPr="00FD3C86">
        <w:rPr>
          <w:rFonts w:ascii="Roboto" w:hAnsi="Roboto"/>
          <w:sz w:val="28"/>
          <w:szCs w:val="28"/>
        </w:rPr>
        <w:t xml:space="preserve">published the </w:t>
      </w:r>
      <w:r w:rsidR="00785138" w:rsidRPr="00FD3C86">
        <w:rPr>
          <w:rFonts w:ascii="Roboto" w:hAnsi="Roboto"/>
          <w:sz w:val="28"/>
          <w:szCs w:val="28"/>
        </w:rPr>
        <w:t>Revised International Consensus</w:t>
      </w:r>
      <w:r w:rsidR="00412B79" w:rsidRPr="00FD3C86">
        <w:rPr>
          <w:rFonts w:ascii="Roboto" w:hAnsi="Roboto"/>
          <w:sz w:val="28"/>
          <w:szCs w:val="28"/>
        </w:rPr>
        <w:t xml:space="preserve"> </w:t>
      </w:r>
      <w:r w:rsidR="00785138" w:rsidRPr="00FD3C86">
        <w:rPr>
          <w:rFonts w:ascii="Roboto" w:hAnsi="Roboto"/>
          <w:sz w:val="28"/>
          <w:szCs w:val="28"/>
        </w:rPr>
        <w:t>G</w:t>
      </w:r>
      <w:r w:rsidR="00412B79" w:rsidRPr="00FD3C86">
        <w:rPr>
          <w:rFonts w:ascii="Roboto" w:hAnsi="Roboto"/>
          <w:sz w:val="28"/>
          <w:szCs w:val="28"/>
        </w:rPr>
        <w:t>uidelines for the diagnosis and management of ITP in children and adults</w:t>
      </w:r>
      <w:r w:rsidR="00ED5F09" w:rsidRPr="00FD3C86">
        <w:rPr>
          <w:rFonts w:ascii="Roboto" w:hAnsi="Roboto"/>
          <w:sz w:val="28"/>
          <w:szCs w:val="28"/>
        </w:rPr>
        <w:t xml:space="preserve"> </w:t>
      </w:r>
      <w:r w:rsidR="00785138" w:rsidRPr="00FD3C86">
        <w:rPr>
          <w:rFonts w:ascii="Roboto" w:hAnsi="Roboto"/>
          <w:sz w:val="28"/>
          <w:szCs w:val="28"/>
        </w:rPr>
        <w:t>in</w:t>
      </w:r>
      <w:r w:rsidR="00264DF8" w:rsidRPr="00FD3C86">
        <w:rPr>
          <w:rFonts w:ascii="Roboto" w:hAnsi="Roboto"/>
          <w:sz w:val="28"/>
          <w:szCs w:val="28"/>
        </w:rPr>
        <w:t xml:space="preserve"> Blood Advances</w:t>
      </w:r>
      <w:r w:rsidR="00412B79" w:rsidRPr="00FD3C86">
        <w:rPr>
          <w:rFonts w:ascii="Roboto" w:hAnsi="Roboto"/>
          <w:sz w:val="28"/>
          <w:szCs w:val="28"/>
        </w:rPr>
        <w:t>.</w:t>
      </w:r>
      <w:r w:rsidR="00DE0920" w:rsidRPr="00FD3C86">
        <w:rPr>
          <w:rFonts w:ascii="Roboto" w:hAnsi="Roboto"/>
          <w:sz w:val="28"/>
          <w:szCs w:val="28"/>
        </w:rPr>
        <w:t xml:space="preserve"> </w:t>
      </w:r>
    </w:p>
    <w:p w14:paraId="009B5DA0" w14:textId="2C25C8F7" w:rsidR="00715B2F" w:rsidRPr="00FD3C86" w:rsidRDefault="00715B2F" w:rsidP="00711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Roboto" w:hAnsi="Roboto" w:cs="Helvetica Neue"/>
          <w:color w:val="101010"/>
          <w:sz w:val="28"/>
          <w:szCs w:val="28"/>
        </w:rPr>
      </w:pPr>
      <w:r w:rsidRPr="00FD3C86">
        <w:rPr>
          <w:rFonts w:ascii="Roboto" w:hAnsi="Roboto" w:cs="Helvetica Neue"/>
          <w:color w:val="101010"/>
          <w:sz w:val="28"/>
          <w:szCs w:val="28"/>
        </w:rPr>
        <w:t xml:space="preserve">He has been involved in the production of numerous medical books including </w:t>
      </w:r>
      <w:r w:rsidRPr="00FD3C86">
        <w:rPr>
          <w:rFonts w:ascii="Roboto" w:hAnsi="Roboto" w:cs="Helvetica Neue"/>
          <w:i/>
          <w:iCs/>
          <w:color w:val="101010"/>
          <w:sz w:val="28"/>
          <w:szCs w:val="28"/>
        </w:rPr>
        <w:t xml:space="preserve">Molecular Haematology </w:t>
      </w:r>
      <w:r w:rsidRPr="00FD3C86">
        <w:rPr>
          <w:rFonts w:ascii="Roboto" w:hAnsi="Roboto" w:cs="Helvetica Neue"/>
          <w:color w:val="101010"/>
          <w:sz w:val="28"/>
          <w:szCs w:val="28"/>
        </w:rPr>
        <w:t xml:space="preserve">(Blackwell Science), </w:t>
      </w:r>
      <w:r w:rsidRPr="00FD3C86">
        <w:rPr>
          <w:rFonts w:ascii="Roboto" w:hAnsi="Roboto" w:cs="Helvetica Neue"/>
          <w:i/>
          <w:iCs/>
          <w:color w:val="101010"/>
          <w:sz w:val="28"/>
          <w:szCs w:val="28"/>
        </w:rPr>
        <w:t xml:space="preserve">Oxford Handbook of Clinical Haematology </w:t>
      </w:r>
      <w:r w:rsidRPr="00FD3C86">
        <w:rPr>
          <w:rFonts w:ascii="Roboto" w:hAnsi="Roboto" w:cs="Helvetica Neue"/>
          <w:color w:val="101010"/>
          <w:sz w:val="28"/>
          <w:szCs w:val="28"/>
        </w:rPr>
        <w:t xml:space="preserve">and </w:t>
      </w:r>
      <w:r w:rsidRPr="00FD3C86">
        <w:rPr>
          <w:rFonts w:ascii="Roboto" w:hAnsi="Roboto" w:cs="Helvetica Neue"/>
          <w:i/>
          <w:iCs/>
          <w:color w:val="101010"/>
          <w:sz w:val="28"/>
          <w:szCs w:val="28"/>
        </w:rPr>
        <w:t>Oxford Handbook of Clinical and Laboratory Investigation</w:t>
      </w:r>
      <w:r w:rsidRPr="00FD3C86">
        <w:rPr>
          <w:rFonts w:ascii="Roboto" w:hAnsi="Roboto" w:cs="Helvetica Neue"/>
          <w:color w:val="101010"/>
          <w:sz w:val="28"/>
          <w:szCs w:val="28"/>
        </w:rPr>
        <w:t xml:space="preserve">, and the </w:t>
      </w:r>
      <w:r w:rsidRPr="00FD3C86">
        <w:rPr>
          <w:rFonts w:ascii="Roboto" w:hAnsi="Roboto" w:cs="Helvetica Neue"/>
          <w:i/>
          <w:iCs/>
          <w:color w:val="101010"/>
          <w:sz w:val="28"/>
          <w:szCs w:val="28"/>
        </w:rPr>
        <w:t xml:space="preserve">ABC of Clinical Haematology </w:t>
      </w:r>
      <w:r w:rsidRPr="00FD3C86">
        <w:rPr>
          <w:rFonts w:ascii="Roboto" w:hAnsi="Roboto" w:cs="Helvetica Neue"/>
          <w:color w:val="101010"/>
          <w:sz w:val="28"/>
          <w:szCs w:val="28"/>
        </w:rPr>
        <w:t>(BMJ books). He also has a major interest in computing in medicine and has written books on iPhone, iPad, and the Mac operating system.</w:t>
      </w:r>
    </w:p>
    <w:p w14:paraId="409B7AC8" w14:textId="77777777" w:rsidR="009C2449" w:rsidRPr="00FD3C86" w:rsidRDefault="009C2449" w:rsidP="00711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Roboto" w:hAnsi="Roboto" w:cs="Helvetica Neue"/>
          <w:color w:val="101010"/>
          <w:sz w:val="28"/>
          <w:szCs w:val="28"/>
        </w:rPr>
      </w:pPr>
    </w:p>
    <w:p w14:paraId="6B826A70" w14:textId="27C21656" w:rsidR="008B690D" w:rsidRPr="00FD3C86" w:rsidRDefault="009C2449" w:rsidP="009C24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Roboto" w:hAnsi="Roboto" w:cs="Helvetica Neue"/>
          <w:color w:val="101010"/>
          <w:sz w:val="32"/>
          <w:szCs w:val="30"/>
        </w:rPr>
      </w:pPr>
      <w:r w:rsidRPr="00FD3C86">
        <w:rPr>
          <w:rFonts w:ascii="Roboto" w:hAnsi="Roboto"/>
          <w:b/>
          <w:sz w:val="28"/>
          <w:szCs w:val="28"/>
          <w:lang w:val="en-GB"/>
        </w:rPr>
        <w:t>Publication</w:t>
      </w:r>
      <w:r w:rsidRPr="00FD3C86">
        <w:rPr>
          <w:rFonts w:ascii="Roboto" w:hAnsi="Roboto"/>
          <w:b/>
          <w:sz w:val="28"/>
          <w:szCs w:val="28"/>
          <w:lang w:val="en-GB"/>
        </w:rPr>
        <w:t>s</w:t>
      </w:r>
    </w:p>
    <w:p w14:paraId="05A1CAF2" w14:textId="2D87AAB1" w:rsidR="008B690D" w:rsidRPr="005C055F" w:rsidRDefault="008B690D" w:rsidP="009C2449">
      <w:pPr>
        <w:pStyle w:val="Paragrafoelenco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Fonts w:ascii="Roboto" w:hAnsi="Roboto" w:cs="Book Antiqua"/>
        </w:rPr>
      </w:pPr>
      <w:proofErr w:type="spellStart"/>
      <w:r w:rsidRPr="005C055F">
        <w:rPr>
          <w:rFonts w:ascii="Roboto" w:hAnsi="Roboto" w:cs="Book Antiqua"/>
        </w:rPr>
        <w:t>Doobaree</w:t>
      </w:r>
      <w:proofErr w:type="spellEnd"/>
      <w:r w:rsidRPr="005C055F">
        <w:rPr>
          <w:rFonts w:ascii="Roboto" w:hAnsi="Roboto" w:cs="Book Antiqua"/>
        </w:rPr>
        <w:t xml:space="preserve"> IU, Newland A, McDonald V, </w:t>
      </w:r>
      <w:proofErr w:type="spellStart"/>
      <w:r w:rsidRPr="005C055F">
        <w:rPr>
          <w:rFonts w:ascii="Roboto" w:hAnsi="Roboto" w:cs="Book Antiqua"/>
        </w:rPr>
        <w:t>Nandigam</w:t>
      </w:r>
      <w:proofErr w:type="spellEnd"/>
      <w:r w:rsidRPr="005C055F">
        <w:rPr>
          <w:rFonts w:ascii="Roboto" w:hAnsi="Roboto" w:cs="Book Antiqua"/>
        </w:rPr>
        <w:t xml:space="preserve"> R, Mensah L, Leroy S, </w:t>
      </w:r>
      <w:proofErr w:type="spellStart"/>
      <w:r w:rsidRPr="005C055F">
        <w:rPr>
          <w:rFonts w:ascii="Roboto" w:hAnsi="Roboto" w:cs="Book Antiqua"/>
        </w:rPr>
        <w:t>Seesaghur</w:t>
      </w:r>
      <w:proofErr w:type="spellEnd"/>
      <w:r w:rsidRPr="005C055F">
        <w:rPr>
          <w:rFonts w:ascii="Roboto" w:hAnsi="Roboto" w:cs="Book Antiqua"/>
        </w:rPr>
        <w:t xml:space="preserve"> A, Patel H, </w:t>
      </w:r>
      <w:proofErr w:type="spellStart"/>
      <w:r w:rsidRPr="005C055F">
        <w:rPr>
          <w:rFonts w:ascii="Roboto" w:hAnsi="Roboto" w:cs="Book Antiqua"/>
        </w:rPr>
        <w:t>Wetten</w:t>
      </w:r>
      <w:proofErr w:type="spellEnd"/>
      <w:r w:rsidRPr="005C055F">
        <w:rPr>
          <w:rFonts w:ascii="Roboto" w:hAnsi="Roboto" w:cs="Book Antiqua"/>
        </w:rPr>
        <w:t xml:space="preserve"> S &amp; </w:t>
      </w:r>
      <w:proofErr w:type="spellStart"/>
      <w:r w:rsidRPr="005C055F">
        <w:rPr>
          <w:rFonts w:ascii="Roboto" w:hAnsi="Roboto" w:cs="Book Antiqua"/>
        </w:rPr>
        <w:t>Provan</w:t>
      </w:r>
      <w:proofErr w:type="spellEnd"/>
      <w:r w:rsidRPr="005C055F">
        <w:rPr>
          <w:rFonts w:ascii="Roboto" w:hAnsi="Roboto" w:cs="Book Antiqua"/>
        </w:rPr>
        <w:t xml:space="preserve"> D (2019</w:t>
      </w:r>
      <w:r w:rsidRPr="005C055F">
        <w:rPr>
          <w:rFonts w:ascii="Roboto" w:hAnsi="Roboto" w:cs="Book Antiqua"/>
          <w:i/>
          <w:iCs/>
        </w:rPr>
        <w:t>). Primary Immune Thrombocytopenia (ITP) Treated with Romiplostim in Routine Clinical Practice: Retrospective Study from the United Kingdom ITP Registry</w:t>
      </w:r>
      <w:r w:rsidRPr="005C055F">
        <w:rPr>
          <w:rFonts w:ascii="Roboto" w:hAnsi="Roboto" w:cs="Book Antiqua"/>
        </w:rPr>
        <w:t xml:space="preserve">. Eur J </w:t>
      </w:r>
      <w:proofErr w:type="spellStart"/>
      <w:r w:rsidRPr="005C055F">
        <w:rPr>
          <w:rFonts w:ascii="Roboto" w:hAnsi="Roboto" w:cs="Book Antiqua"/>
        </w:rPr>
        <w:t>Haematol</w:t>
      </w:r>
      <w:proofErr w:type="spellEnd"/>
      <w:r w:rsidR="00904FB8">
        <w:rPr>
          <w:rFonts w:ascii="Roboto" w:hAnsi="Roboto" w:cs="Book Antiqua"/>
        </w:rPr>
        <w:t>.</w:t>
      </w:r>
    </w:p>
    <w:p w14:paraId="568ACE0C" w14:textId="60EDDE42" w:rsidR="008B690D" w:rsidRPr="005C055F" w:rsidRDefault="008B690D" w:rsidP="009C2449">
      <w:pPr>
        <w:pStyle w:val="Paragrafoelenco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Fonts w:ascii="Roboto" w:hAnsi="Roboto" w:cs="Book Antiqua"/>
        </w:rPr>
      </w:pPr>
      <w:proofErr w:type="spellStart"/>
      <w:r w:rsidRPr="005C055F">
        <w:rPr>
          <w:rFonts w:ascii="Roboto" w:hAnsi="Roboto" w:cs="Book Antiqua"/>
        </w:rPr>
        <w:t>Provan</w:t>
      </w:r>
      <w:proofErr w:type="spellEnd"/>
      <w:r w:rsidRPr="005C055F">
        <w:rPr>
          <w:rFonts w:ascii="Roboto" w:hAnsi="Roboto" w:cs="Book Antiqua"/>
        </w:rPr>
        <w:t xml:space="preserve"> D, Arnold DM, </w:t>
      </w:r>
      <w:proofErr w:type="spellStart"/>
      <w:r w:rsidRPr="005C055F">
        <w:rPr>
          <w:rFonts w:ascii="Roboto" w:hAnsi="Roboto" w:cs="Book Antiqua"/>
        </w:rPr>
        <w:t>Bussel</w:t>
      </w:r>
      <w:proofErr w:type="spellEnd"/>
      <w:r w:rsidRPr="005C055F">
        <w:rPr>
          <w:rFonts w:ascii="Roboto" w:hAnsi="Roboto" w:cs="Book Antiqua"/>
        </w:rPr>
        <w:t xml:space="preserve"> JB et al. </w:t>
      </w:r>
      <w:r w:rsidRPr="005C055F">
        <w:rPr>
          <w:rFonts w:ascii="Roboto" w:hAnsi="Roboto" w:cs="Book Antiqua"/>
          <w:i/>
          <w:iCs/>
        </w:rPr>
        <w:t>Updated international consensus report on the investigation and management of primary immune thrombocytopenia.</w:t>
      </w:r>
      <w:r w:rsidRPr="005C055F">
        <w:rPr>
          <w:rFonts w:ascii="Roboto" w:hAnsi="Roboto" w:cs="Book Antiqua"/>
        </w:rPr>
        <w:t xml:space="preserve"> Blood Adv. 2019;3 (22):3780-3817.</w:t>
      </w:r>
    </w:p>
    <w:p w14:paraId="526336FD" w14:textId="20746D09" w:rsidR="00785138" w:rsidRPr="005C055F" w:rsidRDefault="008B690D" w:rsidP="009C2449">
      <w:pPr>
        <w:pStyle w:val="Paragrafoelenco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Fonts w:ascii="Roboto" w:hAnsi="Roboto" w:cs="Book Antiqua"/>
        </w:rPr>
      </w:pPr>
      <w:proofErr w:type="spellStart"/>
      <w:r w:rsidRPr="005C055F">
        <w:rPr>
          <w:rFonts w:ascii="Roboto" w:hAnsi="Roboto" w:cs="Book Antiqua"/>
        </w:rPr>
        <w:t>Pavord</w:t>
      </w:r>
      <w:proofErr w:type="spellEnd"/>
      <w:r w:rsidRPr="005C055F">
        <w:rPr>
          <w:rFonts w:ascii="Roboto" w:hAnsi="Roboto" w:cs="Book Antiqua"/>
        </w:rPr>
        <w:t xml:space="preserve"> S, </w:t>
      </w:r>
      <w:proofErr w:type="spellStart"/>
      <w:r w:rsidRPr="005C055F">
        <w:rPr>
          <w:rFonts w:ascii="Roboto" w:hAnsi="Roboto" w:cs="Book Antiqua"/>
        </w:rPr>
        <w:t>Thachil</w:t>
      </w:r>
      <w:proofErr w:type="spellEnd"/>
      <w:r w:rsidRPr="005C055F">
        <w:rPr>
          <w:rFonts w:ascii="Roboto" w:hAnsi="Roboto" w:cs="Book Antiqua"/>
        </w:rPr>
        <w:t xml:space="preserve"> J, Hunt B et al. </w:t>
      </w:r>
      <w:r w:rsidRPr="005C055F">
        <w:rPr>
          <w:rFonts w:ascii="Roboto" w:hAnsi="Roboto" w:cs="Book Antiqua"/>
          <w:i/>
          <w:iCs/>
        </w:rPr>
        <w:t>Practical guidance for the management of adults with Immune Thrombocytopenia during the COVID-19 pandemic.</w:t>
      </w:r>
      <w:r w:rsidRPr="005C055F">
        <w:rPr>
          <w:rFonts w:ascii="Roboto" w:hAnsi="Roboto" w:cs="Book Antiqua"/>
        </w:rPr>
        <w:t xml:space="preserve"> Br J </w:t>
      </w:r>
      <w:proofErr w:type="spellStart"/>
      <w:r w:rsidRPr="005C055F">
        <w:rPr>
          <w:rFonts w:ascii="Roboto" w:hAnsi="Roboto" w:cs="Book Antiqua"/>
        </w:rPr>
        <w:t>Haematol</w:t>
      </w:r>
      <w:proofErr w:type="spellEnd"/>
      <w:r w:rsidRPr="005C055F">
        <w:rPr>
          <w:rFonts w:ascii="Roboto" w:hAnsi="Roboto" w:cs="Book Antiqua"/>
        </w:rPr>
        <w:t>. 2020</w:t>
      </w:r>
      <w:r w:rsidR="00904FB8">
        <w:rPr>
          <w:rFonts w:ascii="Roboto" w:hAnsi="Roboto" w:cs="Book Antiqua"/>
        </w:rPr>
        <w:t>.</w:t>
      </w:r>
    </w:p>
    <w:sectPr w:rsidR="00785138" w:rsidRPr="005C0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395"/>
    <w:multiLevelType w:val="hybridMultilevel"/>
    <w:tmpl w:val="60BC7E92"/>
    <w:lvl w:ilvl="0" w:tplc="15CA53E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79"/>
    <w:rsid w:val="00000FD6"/>
    <w:rsid w:val="00066423"/>
    <w:rsid w:val="001107BF"/>
    <w:rsid w:val="0014593C"/>
    <w:rsid w:val="00152480"/>
    <w:rsid w:val="0018155F"/>
    <w:rsid w:val="00261278"/>
    <w:rsid w:val="00264DF8"/>
    <w:rsid w:val="00277D26"/>
    <w:rsid w:val="00412B79"/>
    <w:rsid w:val="00477F6C"/>
    <w:rsid w:val="00493BE2"/>
    <w:rsid w:val="004E3548"/>
    <w:rsid w:val="005C055F"/>
    <w:rsid w:val="006C3B99"/>
    <w:rsid w:val="007113F9"/>
    <w:rsid w:val="00715B2F"/>
    <w:rsid w:val="00720EE4"/>
    <w:rsid w:val="00785138"/>
    <w:rsid w:val="007B6034"/>
    <w:rsid w:val="007F4D5F"/>
    <w:rsid w:val="008369A3"/>
    <w:rsid w:val="00840EDE"/>
    <w:rsid w:val="008B690D"/>
    <w:rsid w:val="008F36C4"/>
    <w:rsid w:val="00904FB8"/>
    <w:rsid w:val="009B1BA7"/>
    <w:rsid w:val="009C2449"/>
    <w:rsid w:val="00A754EB"/>
    <w:rsid w:val="00B5038D"/>
    <w:rsid w:val="00B700DA"/>
    <w:rsid w:val="00B72570"/>
    <w:rsid w:val="00B80E41"/>
    <w:rsid w:val="00C17479"/>
    <w:rsid w:val="00CA11D8"/>
    <w:rsid w:val="00CD40F3"/>
    <w:rsid w:val="00D50492"/>
    <w:rsid w:val="00DB319F"/>
    <w:rsid w:val="00DE0920"/>
    <w:rsid w:val="00DE0AC3"/>
    <w:rsid w:val="00DE7010"/>
    <w:rsid w:val="00DF15C9"/>
    <w:rsid w:val="00ED5F09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41225"/>
  <w15:docId w15:val="{98853C0F-8B0E-C04E-BFEB-C12253D5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B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rsid w:val="00412B79"/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B79"/>
    <w:rPr>
      <w:rFonts w:ascii="Tahoma" w:eastAsiaTheme="minorHAnsi" w:hAnsi="Tahoma" w:cs="Tahoma"/>
      <w:sz w:val="16"/>
      <w:szCs w:val="16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B79"/>
    <w:rPr>
      <w:rFonts w:cs="Tahoma"/>
      <w:sz w:val="16"/>
      <w:szCs w:val="16"/>
    </w:rPr>
  </w:style>
  <w:style w:type="paragraph" w:customStyle="1" w:styleId="FreeForm">
    <w:name w:val="Free Form"/>
    <w:autoRedefine/>
    <w:rsid w:val="009B1BA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</w:pPr>
    <w:rPr>
      <w:rFonts w:ascii="Cambria" w:eastAsia="ヒラギノ角ゴ Pro W3" w:hAnsi="Cambria" w:cs="Tahoma"/>
      <w:noProof/>
      <w:color w:val="000000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D40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40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40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0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0F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C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80540682D3649882CE24D662069AC" ma:contentTypeVersion="10" ma:contentTypeDescription="Create a new document." ma:contentTypeScope="" ma:versionID="0f27d0a786cd86a861bc52e8107d444e">
  <xsd:schema xmlns:xsd="http://www.w3.org/2001/XMLSchema" xmlns:xs="http://www.w3.org/2001/XMLSchema" xmlns:p="http://schemas.microsoft.com/office/2006/metadata/properties" xmlns:ns2="10a8c734-b45b-45fa-a450-146fdd3eeea7" targetNamespace="http://schemas.microsoft.com/office/2006/metadata/properties" ma:root="true" ma:fieldsID="9ee1d05907a0d07f00536c6b1d45fd79" ns2:_="">
    <xsd:import namespace="10a8c734-b45b-45fa-a450-146fdd3ee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c734-b45b-45fa-a450-146fdd3e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720F0-400B-4109-86B9-6D0418F80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8c734-b45b-45fa-a450-146fdd3e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A5A6E-C97F-4D09-8F0F-15AA864A5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D161F-3155-4DEF-B33D-30A28D88BE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Alysia Barasch</dc:creator>
  <cp:lastModifiedBy>Elena Bacci</cp:lastModifiedBy>
  <cp:revision>13</cp:revision>
  <dcterms:created xsi:type="dcterms:W3CDTF">2020-07-22T17:02:00Z</dcterms:created>
  <dcterms:modified xsi:type="dcterms:W3CDTF">2021-05-05T10:02:00Z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0x01010046F80540682D3649882CE24D662069AC</vt:lpwstr>
  </property>
</Properties>
</file>